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922" w:rsidRPr="004B2A9D" w:rsidRDefault="00D666F6" w:rsidP="004B2A9D">
      <w:pPr>
        <w:pStyle w:val="BodyText"/>
        <w:spacing w:before="105"/>
        <w:ind w:right="91"/>
        <w:jc w:val="center"/>
        <w:rPr>
          <w:rFonts w:ascii="Arial"/>
        </w:rPr>
      </w:pPr>
      <w:bookmarkStart w:id="0" w:name="_GoBack"/>
      <w:bookmarkEnd w:id="0"/>
      <w:r>
        <w:rPr>
          <w:noProof/>
          <w:sz w:val="48"/>
          <w:lang w:val="en-GB" w:eastAsia="en-GB"/>
        </w:rPr>
        <w:drawing>
          <wp:anchor distT="0" distB="0" distL="114300" distR="114300" simplePos="0" relativeHeight="251659264" behindDoc="1" locked="0" layoutInCell="1" allowOverlap="1" wp14:anchorId="13C85619" wp14:editId="079BA8FE">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0E2055">
        <w:rPr>
          <w:b/>
          <w:noProof/>
          <w:color w:val="FFFFFF"/>
          <w:w w:val="90"/>
          <w:sz w:val="48"/>
          <w:lang w:val="en-GB" w:eastAsia="en-GB"/>
        </w:rPr>
        <w:drawing>
          <wp:inline distT="0" distB="0" distL="0" distR="0" wp14:anchorId="70224FD7" wp14:editId="6F5DDA72">
            <wp:extent cx="11277600" cy="5334000"/>
            <wp:effectExtent l="0" t="38100" r="0" b="3810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4B2A9D">
        <w:rPr>
          <w:rFonts w:ascii="Arial"/>
          <w:color w:val="FFFFFF"/>
        </w:rPr>
        <w:t xml:space="preserve">- Key </w:t>
      </w:r>
    </w:p>
    <w:sectPr w:rsidR="001F7922" w:rsidRPr="004B2A9D" w:rsidSect="001F7922">
      <w:headerReference w:type="default" r:id="rId16"/>
      <w:pgSz w:w="19200" w:h="10800" w:orient="landscape"/>
      <w:pgMar w:top="160" w:right="0" w:bottom="280" w:left="1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00A" w:rsidRDefault="00FC000A" w:rsidP="00FC000A">
      <w:r>
        <w:separator/>
      </w:r>
    </w:p>
  </w:endnote>
  <w:endnote w:type="continuationSeparator" w:id="0">
    <w:p w:rsidR="00FC000A" w:rsidRDefault="00FC000A" w:rsidP="00FC0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00A" w:rsidRDefault="00FC000A" w:rsidP="00FC000A">
      <w:r>
        <w:separator/>
      </w:r>
    </w:p>
  </w:footnote>
  <w:footnote w:type="continuationSeparator" w:id="0">
    <w:p w:rsidR="00FC000A" w:rsidRDefault="00FC000A" w:rsidP="00FC0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000A" w:rsidRDefault="00FC000A" w:rsidP="00FC000A">
    <w:pPr>
      <w:pStyle w:val="Header"/>
      <w:jc w:val="center"/>
    </w:pPr>
    <w:r>
      <w:tab/>
    </w:r>
    <w:r>
      <w:tab/>
    </w:r>
    <w:r>
      <w:tab/>
    </w:r>
    <w:r>
      <w:tab/>
    </w:r>
    <w:r>
      <w:tab/>
    </w:r>
    <w:r>
      <w:tab/>
    </w:r>
    <w:r>
      <w:tab/>
    </w:r>
    <w:r>
      <w:tab/>
    </w:r>
    <w:r>
      <w:tab/>
    </w:r>
    <w:r>
      <w:tab/>
    </w:r>
    <w:r>
      <w:rPr>
        <w:noProof/>
        <w:lang w:val="en-GB" w:eastAsia="en-GB"/>
      </w:rPr>
      <w:drawing>
        <wp:inline distT="0" distB="0" distL="0" distR="0" wp14:anchorId="0AA4AD59" wp14:editId="562C4C24">
          <wp:extent cx="1288415" cy="433705"/>
          <wp:effectExtent l="0" t="0" r="6985" b="444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8415" cy="4337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35212"/>
    <w:rsid w:val="001A628C"/>
    <w:rsid w:val="001F7922"/>
    <w:rsid w:val="00391F78"/>
    <w:rsid w:val="004B2A9D"/>
    <w:rsid w:val="00524A37"/>
    <w:rsid w:val="00790157"/>
    <w:rsid w:val="008069AA"/>
    <w:rsid w:val="0086541F"/>
    <w:rsid w:val="008C0A80"/>
    <w:rsid w:val="008E1FF9"/>
    <w:rsid w:val="00AC1ACF"/>
    <w:rsid w:val="00D666F6"/>
    <w:rsid w:val="00E76497"/>
    <w:rsid w:val="00FC000A"/>
    <w:rsid w:val="00FD2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AE6E9C-6ADB-4573-8FCF-0314DE29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customStyle="1" w:styleId="BalloonTextChar">
    <w:name w:val="Balloon Text Char"/>
    <w:basedOn w:val="DefaultParagraphFont"/>
    <w:link w:val="BalloonText"/>
    <w:uiPriority w:val="99"/>
    <w:semiHidden/>
    <w:rsid w:val="00135212"/>
    <w:rPr>
      <w:rFonts w:ascii="Tahoma" w:eastAsia="Arial" w:hAnsi="Tahoma" w:cs="Tahoma"/>
      <w:sz w:val="16"/>
      <w:szCs w:val="16"/>
    </w:rPr>
  </w:style>
  <w:style w:type="paragraph" w:styleId="Header">
    <w:name w:val="header"/>
    <w:basedOn w:val="Normal"/>
    <w:link w:val="HeaderChar"/>
    <w:uiPriority w:val="99"/>
    <w:unhideWhenUsed/>
    <w:rsid w:val="00FC000A"/>
    <w:pPr>
      <w:tabs>
        <w:tab w:val="center" w:pos="4513"/>
        <w:tab w:val="right" w:pos="9026"/>
      </w:tabs>
    </w:pPr>
  </w:style>
  <w:style w:type="character" w:customStyle="1" w:styleId="HeaderChar">
    <w:name w:val="Header Char"/>
    <w:basedOn w:val="DefaultParagraphFont"/>
    <w:link w:val="Header"/>
    <w:uiPriority w:val="99"/>
    <w:rsid w:val="00FC000A"/>
    <w:rPr>
      <w:rFonts w:ascii="Arial" w:eastAsia="Arial" w:hAnsi="Arial" w:cs="Arial"/>
    </w:rPr>
  </w:style>
  <w:style w:type="paragraph" w:styleId="Footer">
    <w:name w:val="footer"/>
    <w:basedOn w:val="Normal"/>
    <w:link w:val="FooterChar"/>
    <w:uiPriority w:val="99"/>
    <w:unhideWhenUsed/>
    <w:rsid w:val="00FC000A"/>
    <w:pPr>
      <w:tabs>
        <w:tab w:val="center" w:pos="4513"/>
        <w:tab w:val="right" w:pos="9026"/>
      </w:tabs>
    </w:pPr>
  </w:style>
  <w:style w:type="character" w:customStyle="1" w:styleId="FooterChar">
    <w:name w:val="Footer Char"/>
    <w:basedOn w:val="DefaultParagraphFont"/>
    <w:link w:val="Footer"/>
    <w:uiPriority w:val="99"/>
    <w:rsid w:val="00FC000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400"/>
            <a:t>We provide a high-quality history education to help pupils gain a coherent knowledge and understanding of Britain’s past and that of the wider world. It inspires pupils’ curiosity to know more about the past. Teaching equips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Historical </a:t>
          </a:r>
          <a:endParaRPr lang="en-GB" sz="1400"/>
        </a:p>
        <a:p>
          <a:r>
            <a:rPr lang="en-US" sz="1400" b="1"/>
            <a:t>Mindsets</a:t>
          </a:r>
          <a:endParaRPr lang="en-GB" sz="1400"/>
        </a:p>
        <a:p>
          <a:r>
            <a:rPr lang="en-GB" sz="1400">
              <a:solidFill>
                <a:schemeClr val="bg1"/>
              </a:solidFill>
            </a:rPr>
            <a:t>Curiosity</a:t>
          </a:r>
        </a:p>
        <a:p>
          <a:r>
            <a:rPr lang="en-GB" sz="1400">
              <a:solidFill>
                <a:schemeClr val="bg1"/>
              </a:solidFill>
            </a:rPr>
            <a:t>Questioning</a:t>
          </a:r>
        </a:p>
        <a:p>
          <a:r>
            <a:rPr lang="en-GB" sz="1400">
              <a:solidFill>
                <a:schemeClr val="bg1"/>
              </a:solidFill>
            </a:rPr>
            <a:t>Thinking critically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Understanding of: </a:t>
          </a:r>
        </a:p>
        <a:p>
          <a:r>
            <a:rPr lang="en-GB" sz="1400"/>
            <a:t>Evidence</a:t>
          </a:r>
        </a:p>
        <a:p>
          <a:r>
            <a:rPr lang="en-GB" sz="1400">
              <a:solidFill>
                <a:schemeClr val="bg1"/>
              </a:solidFill>
            </a:rPr>
            <a:t>Interpretations</a:t>
          </a:r>
        </a:p>
        <a:p>
          <a:r>
            <a:rPr lang="en-GB" sz="1400">
              <a:solidFill>
                <a:schemeClr val="bg1"/>
              </a:solidFill>
            </a:rPr>
            <a:t>Cause and consequence </a:t>
          </a:r>
        </a:p>
        <a:p>
          <a:r>
            <a:rPr lang="en-GB" sz="1400">
              <a:solidFill>
                <a:schemeClr val="bg1"/>
              </a:solidFill>
            </a:rPr>
            <a:t>Continuity and Change</a:t>
          </a:r>
        </a:p>
        <a:p>
          <a:r>
            <a:rPr lang="en-GB" sz="1400">
              <a:solidFill>
                <a:schemeClr val="bg1"/>
              </a:solidFill>
            </a:rPr>
            <a:t>Similarity/difference</a:t>
          </a:r>
        </a:p>
        <a:p>
          <a:r>
            <a:rPr lang="en-GB" sz="1400">
              <a:solidFill>
                <a:schemeClr val="bg1"/>
              </a:solidFill>
            </a:rPr>
            <a:t>Significance</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endParaRPr lang="en-US" sz="1400"/>
        </a:p>
        <a:p>
          <a:r>
            <a:rPr lang="en-US" sz="1400"/>
            <a:t>Medium term plans</a:t>
          </a:r>
        </a:p>
        <a:p>
          <a:r>
            <a:rPr lang="en-US" sz="1400">
              <a:solidFill>
                <a:schemeClr val="bg1"/>
              </a:solidFill>
            </a:rPr>
            <a:t>Topic Covers</a:t>
          </a:r>
        </a:p>
        <a:p>
          <a:r>
            <a:rPr lang="en-US" sz="1400">
              <a:solidFill>
                <a:schemeClr val="bg1"/>
              </a:solidFill>
            </a:rPr>
            <a:t>Role of TAs</a:t>
          </a:r>
        </a:p>
        <a:p>
          <a:r>
            <a:rPr lang="en-US" sz="1400">
              <a:solidFill>
                <a:schemeClr val="bg1"/>
              </a:solidFill>
            </a:rPr>
            <a:t>Supprt and challenge</a:t>
          </a:r>
        </a:p>
        <a:p>
          <a:r>
            <a:rPr lang="en-US" sz="1400">
              <a:solidFill>
                <a:schemeClr val="bg1"/>
              </a:solidFill>
            </a:rPr>
            <a:t>Retrieval of prior learning</a:t>
          </a:r>
        </a:p>
        <a:p>
          <a:r>
            <a:rPr lang="en-US" sz="1400">
              <a:solidFill>
                <a:schemeClr val="bg1"/>
              </a:solidFill>
            </a:rPr>
            <a:t>Assessment and tracking</a:t>
          </a:r>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400" b="1"/>
            <a:t>Historical P</a:t>
          </a:r>
          <a:r>
            <a:rPr lang="en-GB" sz="1400" b="1"/>
            <a:t>roficiency</a:t>
          </a:r>
        </a:p>
        <a:p>
          <a:r>
            <a:rPr lang="en-US" sz="1400"/>
            <a:t>Engage in historical enquiry</a:t>
          </a:r>
        </a:p>
        <a:p>
          <a:r>
            <a:rPr lang="en-US" sz="1400"/>
            <a:t>Knoweldge of:</a:t>
          </a:r>
        </a:p>
        <a:p>
          <a:r>
            <a:rPr lang="en-GB" sz="1400"/>
            <a:t>- People, events, situations and developments</a:t>
          </a:r>
        </a:p>
        <a:p>
          <a:r>
            <a:rPr lang="en-GB" sz="1400"/>
            <a:t> - Chronology and characteristic features</a:t>
          </a:r>
        </a:p>
        <a:p>
          <a:r>
            <a:rPr lang="en-GB" sz="1400"/>
            <a:t>- Historical terms</a:t>
          </a:r>
        </a:p>
        <a:p>
          <a:r>
            <a:rPr lang="en-GB" sz="1400"/>
            <a:t>-Oragnise and communicate findings</a:t>
          </a:r>
          <a:endParaRPr lang="en-US" sz="14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21907" custScaleY="112776" custLinFactNeighborX="13646" custLinFactNeighborY="3617">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7281" custLinFactY="20364" custLinFactNeighborX="-300000" custLinFactNeighborY="100000"/>
      <dgm:spPr/>
    </dgm:pt>
    <dgm:pt modelId="{A6DF044A-3129-4A11-A089-526B77EF06A0}" type="pres">
      <dgm:prSet presAssocID="{E357E1A0-91BA-4BBD-983C-7FD0896B175B}" presName="Accent2" presStyleLbl="node1" presStyleIdx="1" presStyleCnt="17" custLinFactX="400000" custLinFactY="100000" custLinFactNeighborX="471337" custLinFactNeighborY="199207"/>
      <dgm:spPr/>
    </dgm:pt>
    <dgm:pt modelId="{BC006920-952D-4C21-AFE1-045742471F7D}" type="pres">
      <dgm:prSet presAssocID="{E357E1A0-91BA-4BBD-983C-7FD0896B175B}" presName="Accent3" presStyleLbl="node1" presStyleIdx="2" presStyleCnt="17" custLinFactX="100000" custLinFactY="-100000" custLinFactNeighborX="157827" custLinFactNeighborY="-116958"/>
      <dgm:spPr/>
    </dgm:pt>
    <dgm:pt modelId="{B83EA187-FFF5-4A26-9355-7A01F21D38FD}" type="pres">
      <dgm:prSet presAssocID="{E357E1A0-91BA-4BBD-983C-7FD0896B175B}" presName="Accent4" presStyleLbl="node1" presStyleIdx="3" presStyleCnt="17" custLinFactX="97850" custLinFactY="100000" custLinFactNeighborX="100000" custLinFactNeighborY="100818"/>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292565" custLinFactNeighborX="-300000" custLinFactNeighborY="18592"/>
      <dgm:spPr/>
    </dgm:pt>
    <dgm:pt modelId="{D427CFDD-7C29-469B-84E2-95DD3D3AB25F}" type="pres">
      <dgm:prSet presAssocID="{8BBBB69D-85CC-4A68-ACC3-69D22BBE0398}" presName="Child1" presStyleLbl="node1" presStyleIdx="6" presStyleCnt="17" custScaleX="143221" custScaleY="138209" custLinFactNeighborX="-63761" custLinFactNeighborY="-31862">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00000" custLinFactY="-60133" custLinFactNeighborX="-18373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83301" custLinFactNeighborX="-100000" custLinFactNeighborY="-87371"/>
      <dgm:spPr/>
    </dgm:pt>
    <dgm:pt modelId="{2D0CF026-087A-41F2-9140-B8AD569794C4}" type="pres">
      <dgm:prSet presAssocID="{0A09E42E-C900-47B5-8804-1BA7D8F76994}" presName="Child2" presStyleLbl="node1" presStyleIdx="9" presStyleCnt="17" custScaleX="208455" custScaleY="187451" custLinFactX="20839" custLinFactNeighborX="100000" custLinFactNeighborY="40543">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100000" custLinFactY="-40380" custLinFactNeighborX="110038"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200000" custLinFactY="-100000" custLinFactNeighborX="-212130" custLinFactNeighborY="-158059"/>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300000" custLinFactY="100000" custLinFactNeighborX="318377" custLinFactNeighborY="162775"/>
      <dgm:spPr/>
    </dgm:pt>
    <dgm:pt modelId="{B7D53200-84AA-4BE6-BE2D-46F2C3191554}" type="pres">
      <dgm:prSet presAssocID="{4DB2DEF1-2D14-44CB-91D9-9DD935BFF3DA}" presName="Child3" presStyleLbl="node1" presStyleIdx="13" presStyleCnt="17" custScaleX="189865" custScaleY="184279" custLinFactNeighborX="16707" custLinFactNeighborY="46892">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86420" custLinFactNeighborX="90778" custLinFactNeighborY="-200000"/>
      <dgm:spPr/>
    </dgm:pt>
    <dgm:pt modelId="{41CC3E82-E2DF-4739-96AC-5C061E82182D}" type="pres">
      <dgm:prSet presAssocID="{1272FDDD-6A18-41D7-852B-6A0AFEADF5B6}" presName="Child4" presStyleLbl="node1" presStyleIdx="15" presStyleCnt="17" custScaleX="215818" custScaleY="192148" custLinFactX="-40473" custLinFactNeighborX="-100000" custLinFactNeighborY="-43052">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20843" custLinFactNeighborX="233829" custLinFactNeighborY="100000"/>
      <dgm:spPr/>
    </dgm:pt>
  </dgm:ptLst>
  <dgm:cxnLst>
    <dgm:cxn modelId="{CAE58265-4218-4856-8A95-80396E9F05FC}" type="presOf" srcId="{E357E1A0-91BA-4BBD-983C-7FD0896B175B}" destId="{42D06469-28FC-4C29-A133-BE84CFE2AD3A}"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05303411-5517-4695-AA66-9E07FDCE6906}" type="presOf" srcId="{4DB2DEF1-2D14-44CB-91D9-9DD935BFF3DA}" destId="{B7D53200-84AA-4BE6-BE2D-46F2C3191554}" srcOrd="0" destOrd="0" presId="urn:microsoft.com/office/officeart/2009/3/layout/CircleRelationship"/>
    <dgm:cxn modelId="{945BEBF2-ECC3-431B-80B8-761340F4E162}"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9922D077-ED4B-4199-B1D4-12DFCA823CDE}" type="presOf" srcId="{8BBBB69D-85CC-4A68-ACC3-69D22BBE0398}" destId="{D427CFDD-7C29-469B-84E2-95DD3D3AB25F}" srcOrd="0" destOrd="0" presId="urn:microsoft.com/office/officeart/2009/3/layout/CircleRelationship"/>
    <dgm:cxn modelId="{52BC27BD-D4D8-4E44-8E05-BF811D721364}" type="presOf" srcId="{1272FDDD-6A18-41D7-852B-6A0AFEADF5B6}" destId="{41CC3E82-E2DF-4739-96AC-5C061E82182D}"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BBDD8361-C219-4F6A-962E-A824CCA20538}" srcId="{E357E1A0-91BA-4BBD-983C-7FD0896B175B}" destId="{4DB2DEF1-2D14-44CB-91D9-9DD935BFF3DA}" srcOrd="2" destOrd="0" parTransId="{48369FBA-238A-4480-AB37-1DD7C0A0D87A}" sibTransId="{EB11E0C3-5CB1-4EBF-87BA-BB50B102C3FE}"/>
    <dgm:cxn modelId="{1FE9EF32-CD68-4AF4-B5F3-7F0353B75B08}" srcId="{E357E1A0-91BA-4BBD-983C-7FD0896B175B}" destId="{0A09E42E-C900-47B5-8804-1BA7D8F76994}" srcOrd="1" destOrd="0" parTransId="{795FD936-FB6F-4092-9F3F-D6F478B404E2}" sibTransId="{EC0B5267-44B2-416F-BB08-87142046CCA3}"/>
    <dgm:cxn modelId="{87CCE7A5-D609-4758-9817-DC3A9496F147}" srcId="{94FCA7C2-6E41-44AE-AF84-80AF4A009A32}" destId="{E357E1A0-91BA-4BBD-983C-7FD0896B175B}" srcOrd="0" destOrd="0" parTransId="{54771946-9F26-43C1-A3C0-9C1C9E76EBB6}" sibTransId="{D42E47B7-AB93-4EA4-A9E4-5A25BCCBA5B1}"/>
    <dgm:cxn modelId="{04EA4FFD-C1E3-49CE-9C12-50C15AAB0BF6}" type="presParOf" srcId="{CF3790C3-76C6-45D2-8E42-52ABDACB68DF}" destId="{42D06469-28FC-4C29-A133-BE84CFE2AD3A}" srcOrd="0" destOrd="0" presId="urn:microsoft.com/office/officeart/2009/3/layout/CircleRelationship"/>
    <dgm:cxn modelId="{A9A1ABFC-6286-444D-ADF9-94AD5314ECDB}"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3084567" y="-15062"/>
          <a:ext cx="4358403" cy="403217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kern="1200"/>
            <a:t>We provide a high-quality history education to help pupils gain a coherent knowledge and understanding of Britain’s past and that of the wider world. It inspires pupils’ curiosity to know more about the past. Teaching equips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a:t>
          </a:r>
          <a:endParaRPr lang="en-US" sz="1400" kern="1200"/>
        </a:p>
      </dsp:txBody>
      <dsp:txXfrm>
        <a:off x="3722840" y="575436"/>
        <a:ext cx="3081857" cy="2851174"/>
      </dsp:txXfrm>
    </dsp:sp>
    <dsp:sp modelId="{07AE8073-09B6-44EE-97E3-5B4388A83F6B}">
      <dsp:nvSpPr>
        <dsp:cNvPr id="0" name=""/>
        <dsp:cNvSpPr/>
      </dsp:nvSpPr>
      <dsp:spPr>
        <a:xfrm>
          <a:off x="3012167" y="399739"/>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6598954" y="4255582"/>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36867" y="909942"/>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202928" y="4499017"/>
          <a:ext cx="397487" cy="3979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733281" y="107502"/>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1553258" y="2188486"/>
          <a:ext cx="288215" cy="28803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629736" y="0"/>
          <a:ext cx="2081778" cy="200888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Historical </a:t>
          </a:r>
          <a:endParaRPr lang="en-GB" sz="1400" kern="1200"/>
        </a:p>
        <a:p>
          <a:pPr lvl="0" algn="ctr" defTabSz="622300">
            <a:lnSpc>
              <a:spcPct val="90000"/>
            </a:lnSpc>
            <a:spcBef>
              <a:spcPct val="0"/>
            </a:spcBef>
            <a:spcAft>
              <a:spcPct val="35000"/>
            </a:spcAft>
          </a:pPr>
          <a:r>
            <a:rPr lang="en-US" sz="1400" b="1" kern="1200"/>
            <a:t>Mindsets</a:t>
          </a:r>
          <a:endParaRPr lang="en-GB" sz="1400" kern="1200"/>
        </a:p>
        <a:p>
          <a:pPr lvl="0" algn="ctr" defTabSz="622300">
            <a:lnSpc>
              <a:spcPct val="90000"/>
            </a:lnSpc>
            <a:spcBef>
              <a:spcPct val="0"/>
            </a:spcBef>
            <a:spcAft>
              <a:spcPct val="35000"/>
            </a:spcAft>
          </a:pPr>
          <a:r>
            <a:rPr lang="en-GB" sz="1400" kern="1200">
              <a:solidFill>
                <a:schemeClr val="bg1"/>
              </a:solidFill>
            </a:rPr>
            <a:t>Curiosity</a:t>
          </a:r>
        </a:p>
        <a:p>
          <a:pPr lvl="0" algn="ctr" defTabSz="622300">
            <a:lnSpc>
              <a:spcPct val="90000"/>
            </a:lnSpc>
            <a:spcBef>
              <a:spcPct val="0"/>
            </a:spcBef>
            <a:spcAft>
              <a:spcPct val="35000"/>
            </a:spcAft>
          </a:pPr>
          <a:r>
            <a:rPr lang="en-GB" sz="1400" kern="1200">
              <a:solidFill>
                <a:schemeClr val="bg1"/>
              </a:solidFill>
            </a:rPr>
            <a:t>Questioning</a:t>
          </a:r>
        </a:p>
        <a:p>
          <a:pPr lvl="0" algn="ctr" defTabSz="622300">
            <a:lnSpc>
              <a:spcPct val="90000"/>
            </a:lnSpc>
            <a:spcBef>
              <a:spcPct val="0"/>
            </a:spcBef>
            <a:spcAft>
              <a:spcPct val="35000"/>
            </a:spcAft>
          </a:pPr>
          <a:r>
            <a:rPr lang="en-GB" sz="1400" kern="1200">
              <a:solidFill>
                <a:schemeClr val="bg1"/>
              </a:solidFill>
            </a:rPr>
            <a:t>Thinking critically </a:t>
          </a:r>
        </a:p>
      </dsp:txBody>
      <dsp:txXfrm>
        <a:off x="934605" y="294195"/>
        <a:ext cx="1472040" cy="1420498"/>
      </dsp:txXfrm>
    </dsp:sp>
    <dsp:sp modelId="{0BB786F5-F3AD-4515-89DD-7CB26B88C0BD}">
      <dsp:nvSpPr>
        <dsp:cNvPr id="0" name=""/>
        <dsp:cNvSpPr/>
      </dsp:nvSpPr>
      <dsp:spPr>
        <a:xfrm>
          <a:off x="3498867" y="0"/>
          <a:ext cx="397487" cy="39791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90396" y="1979842"/>
          <a:ext cx="718704" cy="71902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899138" y="-1184"/>
          <a:ext cx="3029982" cy="272462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Understanding of: </a:t>
          </a:r>
        </a:p>
        <a:p>
          <a:pPr lvl="0" algn="ctr" defTabSz="622300">
            <a:lnSpc>
              <a:spcPct val="90000"/>
            </a:lnSpc>
            <a:spcBef>
              <a:spcPct val="0"/>
            </a:spcBef>
            <a:spcAft>
              <a:spcPct val="35000"/>
            </a:spcAft>
          </a:pPr>
          <a:r>
            <a:rPr lang="en-GB" sz="1400" kern="1200"/>
            <a:t>Evidence</a:t>
          </a:r>
        </a:p>
        <a:p>
          <a:pPr lvl="0" algn="ctr" defTabSz="622300">
            <a:lnSpc>
              <a:spcPct val="90000"/>
            </a:lnSpc>
            <a:spcBef>
              <a:spcPct val="0"/>
            </a:spcBef>
            <a:spcAft>
              <a:spcPct val="35000"/>
            </a:spcAft>
          </a:pPr>
          <a:r>
            <a:rPr lang="en-GB" sz="1400" kern="1200">
              <a:solidFill>
                <a:schemeClr val="bg1"/>
              </a:solidFill>
            </a:rPr>
            <a:t>Interpretations</a:t>
          </a:r>
        </a:p>
        <a:p>
          <a:pPr lvl="0" algn="ctr" defTabSz="622300">
            <a:lnSpc>
              <a:spcPct val="90000"/>
            </a:lnSpc>
            <a:spcBef>
              <a:spcPct val="0"/>
            </a:spcBef>
            <a:spcAft>
              <a:spcPct val="35000"/>
            </a:spcAft>
          </a:pPr>
          <a:r>
            <a:rPr lang="en-GB" sz="1400" kern="1200">
              <a:solidFill>
                <a:schemeClr val="bg1"/>
              </a:solidFill>
            </a:rPr>
            <a:t>Cause and consequence </a:t>
          </a:r>
        </a:p>
        <a:p>
          <a:pPr lvl="0" algn="ctr" defTabSz="622300">
            <a:lnSpc>
              <a:spcPct val="90000"/>
            </a:lnSpc>
            <a:spcBef>
              <a:spcPct val="0"/>
            </a:spcBef>
            <a:spcAft>
              <a:spcPct val="35000"/>
            </a:spcAft>
          </a:pPr>
          <a:r>
            <a:rPr lang="en-GB" sz="1400" kern="1200">
              <a:solidFill>
                <a:schemeClr val="bg1"/>
              </a:solidFill>
            </a:rPr>
            <a:t>Continuity and Change</a:t>
          </a:r>
        </a:p>
        <a:p>
          <a:pPr lvl="0" algn="ctr" defTabSz="622300">
            <a:lnSpc>
              <a:spcPct val="90000"/>
            </a:lnSpc>
            <a:spcBef>
              <a:spcPct val="0"/>
            </a:spcBef>
            <a:spcAft>
              <a:spcPct val="35000"/>
            </a:spcAft>
          </a:pPr>
          <a:r>
            <a:rPr lang="en-GB" sz="1400" kern="1200">
              <a:solidFill>
                <a:schemeClr val="bg1"/>
              </a:solidFill>
            </a:rPr>
            <a:t>Similarity/difference</a:t>
          </a:r>
        </a:p>
        <a:p>
          <a:pPr lvl="0" algn="ctr" defTabSz="622300">
            <a:lnSpc>
              <a:spcPct val="90000"/>
            </a:lnSpc>
            <a:spcBef>
              <a:spcPct val="0"/>
            </a:spcBef>
            <a:spcAft>
              <a:spcPct val="35000"/>
            </a:spcAft>
          </a:pPr>
          <a:r>
            <a:rPr lang="en-GB" sz="1400" kern="1200">
              <a:solidFill>
                <a:schemeClr val="bg1"/>
              </a:solidFill>
            </a:rPr>
            <a:t>Significance</a:t>
          </a:r>
        </a:p>
      </dsp:txBody>
      <dsp:txXfrm>
        <a:off x="8342869" y="397829"/>
        <a:ext cx="2142520" cy="1926602"/>
      </dsp:txXfrm>
    </dsp:sp>
    <dsp:sp modelId="{E97F5D86-9007-4F52-A15D-CA3AB0A87110}">
      <dsp:nvSpPr>
        <dsp:cNvPr id="0" name=""/>
        <dsp:cNvSpPr/>
      </dsp:nvSpPr>
      <dsp:spPr>
        <a:xfrm>
          <a:off x="7116752" y="490336"/>
          <a:ext cx="397487" cy="39791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546419" y="2720330"/>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6388379" y="3810335"/>
          <a:ext cx="288215" cy="28803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204144" y="2626465"/>
          <a:ext cx="2759768" cy="2678522"/>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endParaRPr lang="en-US" sz="1400" kern="1200"/>
        </a:p>
        <a:p>
          <a:pPr lvl="0" algn="ctr" defTabSz="622300">
            <a:lnSpc>
              <a:spcPct val="90000"/>
            </a:lnSpc>
            <a:spcBef>
              <a:spcPct val="0"/>
            </a:spcBef>
            <a:spcAft>
              <a:spcPct val="35000"/>
            </a:spcAft>
          </a:pPr>
          <a:r>
            <a:rPr lang="en-US" sz="1400" kern="1200"/>
            <a:t>Medium term plans</a:t>
          </a:r>
        </a:p>
        <a:p>
          <a:pPr lvl="0" algn="ctr" defTabSz="622300">
            <a:lnSpc>
              <a:spcPct val="90000"/>
            </a:lnSpc>
            <a:spcBef>
              <a:spcPct val="0"/>
            </a:spcBef>
            <a:spcAft>
              <a:spcPct val="35000"/>
            </a:spcAft>
          </a:pPr>
          <a:r>
            <a:rPr lang="en-US" sz="1400" kern="1200">
              <a:solidFill>
                <a:schemeClr val="bg1"/>
              </a:solidFill>
            </a:rPr>
            <a:t>Topic Covers</a:t>
          </a:r>
        </a:p>
        <a:p>
          <a:pPr lvl="0" algn="ctr" defTabSz="622300">
            <a:lnSpc>
              <a:spcPct val="90000"/>
            </a:lnSpc>
            <a:spcBef>
              <a:spcPct val="0"/>
            </a:spcBef>
            <a:spcAft>
              <a:spcPct val="35000"/>
            </a:spcAft>
          </a:pPr>
          <a:r>
            <a:rPr lang="en-US" sz="1400" kern="1200">
              <a:solidFill>
                <a:schemeClr val="bg1"/>
              </a:solidFill>
            </a:rPr>
            <a:t>Role of TAs</a:t>
          </a:r>
        </a:p>
        <a:p>
          <a:pPr lvl="0" algn="ctr" defTabSz="622300">
            <a:lnSpc>
              <a:spcPct val="90000"/>
            </a:lnSpc>
            <a:spcBef>
              <a:spcPct val="0"/>
            </a:spcBef>
            <a:spcAft>
              <a:spcPct val="35000"/>
            </a:spcAft>
          </a:pPr>
          <a:r>
            <a:rPr lang="en-US" sz="1400" kern="1200">
              <a:solidFill>
                <a:schemeClr val="bg1"/>
              </a:solidFill>
            </a:rPr>
            <a:t>Supprt and challenge</a:t>
          </a:r>
        </a:p>
        <a:p>
          <a:pPr lvl="0" algn="ctr" defTabSz="622300">
            <a:lnSpc>
              <a:spcPct val="90000"/>
            </a:lnSpc>
            <a:spcBef>
              <a:spcPct val="0"/>
            </a:spcBef>
            <a:spcAft>
              <a:spcPct val="35000"/>
            </a:spcAft>
          </a:pPr>
          <a:r>
            <a:rPr lang="en-US" sz="1400" kern="1200">
              <a:solidFill>
                <a:schemeClr val="bg1"/>
              </a:solidFill>
            </a:rPr>
            <a:t>Retrieval of prior learning</a:t>
          </a:r>
        </a:p>
        <a:p>
          <a:pPr lvl="0" algn="ctr" defTabSz="622300">
            <a:lnSpc>
              <a:spcPct val="90000"/>
            </a:lnSpc>
            <a:spcBef>
              <a:spcPct val="0"/>
            </a:spcBef>
            <a:spcAft>
              <a:spcPct val="35000"/>
            </a:spcAft>
          </a:pPr>
          <a:r>
            <a:rPr lang="en-US" sz="1400" kern="1200">
              <a:solidFill>
                <a:schemeClr val="bg1"/>
              </a:solidFill>
            </a:rPr>
            <a:t>Assessment and tracking</a:t>
          </a:r>
        </a:p>
      </dsp:txBody>
      <dsp:txXfrm>
        <a:off x="7608303" y="3018725"/>
        <a:ext cx="1951450" cy="1894002"/>
      </dsp:txXfrm>
    </dsp:sp>
    <dsp:sp modelId="{82310E27-FFDD-4FA9-87D1-01EE660BB626}">
      <dsp:nvSpPr>
        <dsp:cNvPr id="0" name=""/>
        <dsp:cNvSpPr/>
      </dsp:nvSpPr>
      <dsp:spPr>
        <a:xfrm>
          <a:off x="7466095" y="1393685"/>
          <a:ext cx="288215" cy="288036"/>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558696" y="2505816"/>
          <a:ext cx="3137006" cy="279290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Historical P</a:t>
          </a:r>
          <a:r>
            <a:rPr lang="en-GB" sz="1400" b="1" kern="1200"/>
            <a:t>roficiency</a:t>
          </a:r>
        </a:p>
        <a:p>
          <a:pPr lvl="0" algn="ctr" defTabSz="622300">
            <a:lnSpc>
              <a:spcPct val="90000"/>
            </a:lnSpc>
            <a:spcBef>
              <a:spcPct val="0"/>
            </a:spcBef>
            <a:spcAft>
              <a:spcPct val="35000"/>
            </a:spcAft>
          </a:pPr>
          <a:r>
            <a:rPr lang="en-US" sz="1400" kern="1200"/>
            <a:t>Engage in historical enquiry</a:t>
          </a:r>
        </a:p>
        <a:p>
          <a:pPr lvl="0" algn="ctr" defTabSz="622300">
            <a:lnSpc>
              <a:spcPct val="90000"/>
            </a:lnSpc>
            <a:spcBef>
              <a:spcPct val="0"/>
            </a:spcBef>
            <a:spcAft>
              <a:spcPct val="35000"/>
            </a:spcAft>
          </a:pPr>
          <a:r>
            <a:rPr lang="en-US" sz="1400" kern="1200"/>
            <a:t>Knoweldge of:</a:t>
          </a:r>
        </a:p>
        <a:p>
          <a:pPr lvl="0" algn="ctr" defTabSz="622300">
            <a:lnSpc>
              <a:spcPct val="90000"/>
            </a:lnSpc>
            <a:spcBef>
              <a:spcPct val="0"/>
            </a:spcBef>
            <a:spcAft>
              <a:spcPct val="35000"/>
            </a:spcAft>
          </a:pPr>
          <a:r>
            <a:rPr lang="en-GB" sz="1400" kern="1200"/>
            <a:t>- People, events, situations and developments</a:t>
          </a:r>
        </a:p>
        <a:p>
          <a:pPr lvl="0" algn="ctr" defTabSz="622300">
            <a:lnSpc>
              <a:spcPct val="90000"/>
            </a:lnSpc>
            <a:spcBef>
              <a:spcPct val="0"/>
            </a:spcBef>
            <a:spcAft>
              <a:spcPct val="35000"/>
            </a:spcAft>
          </a:pPr>
          <a:r>
            <a:rPr lang="en-GB" sz="1400" kern="1200"/>
            <a:t> - Chronology and characteristic features</a:t>
          </a:r>
        </a:p>
        <a:p>
          <a:pPr lvl="0" algn="ctr" defTabSz="622300">
            <a:lnSpc>
              <a:spcPct val="90000"/>
            </a:lnSpc>
            <a:spcBef>
              <a:spcPct val="0"/>
            </a:spcBef>
            <a:spcAft>
              <a:spcPct val="35000"/>
            </a:spcAft>
          </a:pPr>
          <a:r>
            <a:rPr lang="en-GB" sz="1400" kern="1200"/>
            <a:t>- Historical terms</a:t>
          </a:r>
        </a:p>
        <a:p>
          <a:pPr lvl="0" algn="ctr" defTabSz="622300">
            <a:lnSpc>
              <a:spcPct val="90000"/>
            </a:lnSpc>
            <a:spcBef>
              <a:spcPct val="0"/>
            </a:spcBef>
            <a:spcAft>
              <a:spcPct val="35000"/>
            </a:spcAft>
          </a:pPr>
          <a:r>
            <a:rPr lang="en-GB" sz="1400" kern="1200"/>
            <a:t>-Oragnise and communicate findings</a:t>
          </a:r>
          <a:endParaRPr lang="en-US" sz="1400" kern="1200"/>
        </a:p>
      </dsp:txBody>
      <dsp:txXfrm>
        <a:off x="1018100" y="2914827"/>
        <a:ext cx="2218198" cy="1974878"/>
      </dsp:txXfrm>
    </dsp:sp>
    <dsp:sp modelId="{D320D7FA-9E1A-462D-8B27-F3B630E2A1FB}">
      <dsp:nvSpPr>
        <dsp:cNvPr id="0" name=""/>
        <dsp:cNvSpPr/>
      </dsp:nvSpPr>
      <dsp:spPr>
        <a:xfrm>
          <a:off x="5990691" y="4100274"/>
          <a:ext cx="288215" cy="288036"/>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25C0C4-82C3-403D-99E7-EAA7DF54D49F}">
  <ds:schemaRefs>
    <ds:schemaRef ds:uri="61be8809-4e72-4e3d-9a21-e33ebd14ca91"/>
    <ds:schemaRef ds:uri="d14d1845-8867-4b54-9592-94bba8f93667"/>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FC6E72B-5941-4D5C-B1F3-DC323ED2F5FB}">
  <ds:schemaRefs>
    <ds:schemaRef ds:uri="http://schemas.microsoft.com/sharepoint/v3/contenttype/forms"/>
  </ds:schemaRefs>
</ds:datastoreItem>
</file>

<file path=customXml/itemProps3.xml><?xml version="1.0" encoding="utf-8"?>
<ds:datastoreItem xmlns:ds="http://schemas.openxmlformats.org/officeDocument/2006/customXml" ds:itemID="{AB5F370A-0879-42F5-B31E-04D9FFC1E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NAACE Agreement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Windows User</cp:lastModifiedBy>
  <cp:revision>2</cp:revision>
  <cp:lastPrinted>2020-02-28T09:59:00Z</cp:lastPrinted>
  <dcterms:created xsi:type="dcterms:W3CDTF">2021-01-15T16:43:00Z</dcterms:created>
  <dcterms:modified xsi:type="dcterms:W3CDTF">2021-01-15T16:43:00Z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